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67" w:rsidRPr="00912E67" w:rsidRDefault="00912E67" w:rsidP="00912E67">
      <w:pPr>
        <w:rPr>
          <w:lang w:val="it-IT"/>
        </w:rPr>
      </w:pPr>
      <w:r w:rsidRPr="00912E67">
        <w:rPr>
          <w:lang w:val="it-IT"/>
        </w:rPr>
        <w:t>Mercredi 1er février, 14 h</w:t>
      </w:r>
    </w:p>
    <w:p w:rsidR="00912E67" w:rsidRPr="00912E67" w:rsidRDefault="00912E67" w:rsidP="00912E67">
      <w:pPr>
        <w:rPr>
          <w:lang w:val="it-IT"/>
        </w:rPr>
      </w:pPr>
      <w:r>
        <w:rPr>
          <w:lang w:val="it-IT"/>
        </w:rPr>
        <w:t xml:space="preserve">Alessandro Mancinelli, </w:t>
      </w:r>
      <w:r w:rsidRPr="00912E67">
        <w:rPr>
          <w:lang w:val="it-IT"/>
        </w:rPr>
        <w:t>Un</w:t>
      </w:r>
      <w:r>
        <w:rPr>
          <w:lang w:val="it-IT"/>
        </w:rPr>
        <w:t>iversità degli Studi di Perugia</w:t>
      </w:r>
    </w:p>
    <w:p w:rsidR="00912E67" w:rsidRDefault="00912E67" w:rsidP="00912E67">
      <w:r>
        <w:t>Cassiodore et la Gaule</w:t>
      </w:r>
    </w:p>
    <w:p w:rsidR="00912E67" w:rsidRDefault="00912E67" w:rsidP="00912E67"/>
    <w:p w:rsidR="00912E67" w:rsidRDefault="00912E67" w:rsidP="00912E67">
      <w:r>
        <w:t>Jeudi 6 avril 2017, 10 h</w:t>
      </w:r>
    </w:p>
    <w:p w:rsidR="00912E67" w:rsidRDefault="00912E67" w:rsidP="00912E67">
      <w:r>
        <w:t>Attila Pókecz Kovács, Université de Pécs, Hongrie</w:t>
      </w:r>
    </w:p>
    <w:p w:rsidR="00912E67" w:rsidRDefault="00912E67" w:rsidP="00912E67">
      <w:r>
        <w:t>Le dépôt et la g</w:t>
      </w:r>
      <w:r>
        <w:t xml:space="preserve">arde des biens dans la pratique </w:t>
      </w:r>
      <w:r>
        <w:t>contractuelle romaine</w:t>
      </w:r>
    </w:p>
    <w:p w:rsidR="00912E67" w:rsidRDefault="00912E67" w:rsidP="00912E67"/>
    <w:p w:rsidR="00912E67" w:rsidRDefault="00912E67" w:rsidP="00912E67">
      <w:r>
        <w:t>Mardi 21 février, 14h</w:t>
      </w:r>
    </w:p>
    <w:p w:rsidR="00912E67" w:rsidRDefault="00912E67" w:rsidP="00912E67">
      <w:r>
        <w:t xml:space="preserve">Yann Le Bohec, </w:t>
      </w:r>
      <w:r>
        <w:t>Unive</w:t>
      </w:r>
      <w:r>
        <w:t>rsité Paris-Sorbonne - Paris IV</w:t>
      </w:r>
    </w:p>
    <w:p w:rsidR="00912E67" w:rsidRDefault="00912E67" w:rsidP="00912E67">
      <w:r>
        <w:t xml:space="preserve">Présentation de son ouvrage </w:t>
      </w:r>
      <w:r w:rsidRPr="00912E67">
        <w:rPr>
          <w:i/>
        </w:rPr>
        <w:t>Spartacus, chef de guerre</w:t>
      </w:r>
      <w:r>
        <w:t xml:space="preserve">, </w:t>
      </w:r>
      <w:r>
        <w:t>Taillandier, 2014</w:t>
      </w:r>
    </w:p>
    <w:p w:rsidR="00912E67" w:rsidRDefault="00912E67" w:rsidP="00912E67"/>
    <w:p w:rsidR="00912E67" w:rsidRDefault="00912E67" w:rsidP="00912E67">
      <w:r>
        <w:t>Vendredi 7 avril 2017, 10 h</w:t>
      </w:r>
    </w:p>
    <w:p w:rsidR="00912E67" w:rsidRDefault="00912E67" w:rsidP="00912E67">
      <w:r>
        <w:t>Attila Pókecz Kovács, Université de Pécs, Hongrie</w:t>
      </w:r>
    </w:p>
    <w:p w:rsidR="00912E67" w:rsidRDefault="00912E67" w:rsidP="00912E67">
      <w:r>
        <w:t>Les migratio</w:t>
      </w:r>
      <w:r>
        <w:t xml:space="preserve">ns et la Hongrie - une approche </w:t>
      </w:r>
      <w:r>
        <w:t>historique</w:t>
      </w:r>
    </w:p>
    <w:p w:rsidR="00912E67" w:rsidRDefault="00912E67" w:rsidP="00912E67"/>
    <w:p w:rsidR="00912E67" w:rsidRDefault="00912E67" w:rsidP="00912E67">
      <w:r>
        <w:t>Mardi 14 mars 2017, 14 h 30</w:t>
      </w:r>
    </w:p>
    <w:p w:rsidR="00912E67" w:rsidRDefault="00912E67" w:rsidP="00912E67">
      <w:r>
        <w:t xml:space="preserve">Bernard Legras, </w:t>
      </w:r>
      <w:r>
        <w:t>Univers</w:t>
      </w:r>
      <w:r>
        <w:t>ité Panthéon-Sorbonne - Paris I</w:t>
      </w:r>
    </w:p>
    <w:p w:rsidR="00912E67" w:rsidRDefault="00912E67" w:rsidP="00912E67">
      <w:r>
        <w:t>Cléop</w:t>
      </w:r>
      <w:r>
        <w:t xml:space="preserve">âtre législatrice. </w:t>
      </w:r>
      <w:r>
        <w:t>A propos du papyrus CPR XXVIII 14</w:t>
      </w:r>
    </w:p>
    <w:p w:rsidR="00912E67" w:rsidRDefault="00912E67" w:rsidP="00912E67"/>
    <w:p w:rsidR="00912E67" w:rsidRDefault="00912E67" w:rsidP="00912E67">
      <w:r>
        <w:t>Vendredi 21 avril 2017, 14 h 30</w:t>
      </w:r>
      <w:bookmarkStart w:id="0" w:name="_GoBack"/>
      <w:bookmarkEnd w:id="0"/>
    </w:p>
    <w:p w:rsidR="00912E67" w:rsidRDefault="00912E67" w:rsidP="00912E67">
      <w:r>
        <w:t>Eric de Mari, Université de Montpellier</w:t>
      </w:r>
    </w:p>
    <w:p w:rsidR="00912E67" w:rsidRDefault="00912E67" w:rsidP="00912E67">
      <w:r>
        <w:t xml:space="preserve">Présentation de son ouvrage </w:t>
      </w:r>
      <w:r w:rsidRPr="00912E67">
        <w:rPr>
          <w:i/>
        </w:rPr>
        <w:t xml:space="preserve">L'empire de la propriété. </w:t>
      </w:r>
      <w:r w:rsidRPr="00912E67">
        <w:rPr>
          <w:i/>
        </w:rPr>
        <w:t xml:space="preserve">L'impact environnemental de la </w:t>
      </w:r>
      <w:r w:rsidRPr="00912E67">
        <w:rPr>
          <w:i/>
        </w:rPr>
        <w:t xml:space="preserve">norme en milieu contraint III : </w:t>
      </w:r>
      <w:r w:rsidRPr="00912E67">
        <w:rPr>
          <w:i/>
        </w:rPr>
        <w:t>exemples de droit colonial et analogies contemporaines</w:t>
      </w:r>
      <w:r>
        <w:t xml:space="preserve">, </w:t>
      </w:r>
      <w:r>
        <w:t>Editions Victoires, 2016</w:t>
      </w:r>
    </w:p>
    <w:p w:rsidR="00912E67" w:rsidRDefault="00912E67" w:rsidP="00912E67"/>
    <w:p w:rsidR="00912E67" w:rsidRDefault="00912E67" w:rsidP="00912E67">
      <w:r>
        <w:t>Mercredi 15 mars 2017 à 14 h</w:t>
      </w:r>
    </w:p>
    <w:p w:rsidR="00912E67" w:rsidRDefault="00912E67" w:rsidP="00912E67">
      <w:r>
        <w:t xml:space="preserve">Communication des CHAD-Doc </w:t>
      </w:r>
      <w:r>
        <w:t>(Doctorants et d</w:t>
      </w:r>
      <w:r>
        <w:t xml:space="preserve">octeurs du Centre d’Histoire et </w:t>
      </w:r>
      <w:r>
        <w:t>d’Anthropologie du Droit, Université Paris Nanterre)</w:t>
      </w:r>
    </w:p>
    <w:p w:rsidR="00912E67" w:rsidRDefault="00912E67" w:rsidP="00912E67">
      <w:r>
        <w:t>Conseils méthodolog</w:t>
      </w:r>
      <w:r>
        <w:t xml:space="preserve">iques des doctorants </w:t>
      </w:r>
      <w:r>
        <w:t>pour le mémoire</w:t>
      </w:r>
    </w:p>
    <w:p w:rsidR="00912E67" w:rsidRDefault="00912E67" w:rsidP="00912E67">
      <w:pPr>
        <w:rPr>
          <w:lang w:val="it-IT"/>
        </w:rPr>
      </w:pPr>
    </w:p>
    <w:p w:rsidR="00912E67" w:rsidRPr="00912E67" w:rsidRDefault="00912E67" w:rsidP="00912E67">
      <w:pPr>
        <w:rPr>
          <w:lang w:val="it-IT"/>
        </w:rPr>
      </w:pPr>
      <w:r w:rsidRPr="00912E67">
        <w:rPr>
          <w:lang w:val="it-IT"/>
        </w:rPr>
        <w:t>Mardi 23 mai 2017, 10 h 30</w:t>
      </w:r>
    </w:p>
    <w:p w:rsidR="00912E67" w:rsidRPr="00912E67" w:rsidRDefault="00912E67" w:rsidP="00912E67">
      <w:pPr>
        <w:rPr>
          <w:lang w:val="it-IT"/>
        </w:rPr>
      </w:pPr>
      <w:r>
        <w:rPr>
          <w:lang w:val="it-IT"/>
        </w:rPr>
        <w:t xml:space="preserve">Luca Loschiavo, </w:t>
      </w:r>
      <w:r w:rsidRPr="00912E67">
        <w:rPr>
          <w:lang w:val="it-IT"/>
        </w:rPr>
        <w:t xml:space="preserve">Università degli Studi </w:t>
      </w:r>
      <w:r>
        <w:rPr>
          <w:lang w:val="it-IT"/>
        </w:rPr>
        <w:t>di Teramo &amp; Università Roma III</w:t>
      </w:r>
    </w:p>
    <w:p w:rsidR="00912E67" w:rsidRPr="00912E67" w:rsidRDefault="00912E67" w:rsidP="00912E67">
      <w:pPr>
        <w:rPr>
          <w:lang w:val="it-IT"/>
        </w:rPr>
      </w:pPr>
      <w:r w:rsidRPr="00912E67">
        <w:rPr>
          <w:lang w:val="it-IT"/>
        </w:rPr>
        <w:t>L'età del passaggio All'</w:t>
      </w:r>
      <w:r>
        <w:rPr>
          <w:lang w:val="it-IT"/>
        </w:rPr>
        <w:t xml:space="preserve">alba del diritto comune europeo </w:t>
      </w:r>
      <w:r w:rsidRPr="00912E67">
        <w:rPr>
          <w:lang w:val="it-IT"/>
        </w:rPr>
        <w:t>(secoli III-VII)</w:t>
      </w:r>
    </w:p>
    <w:p w:rsidR="00912E67" w:rsidRDefault="00912E67" w:rsidP="00912E67">
      <w:pPr>
        <w:rPr>
          <w:lang w:val="it-IT"/>
        </w:rPr>
      </w:pPr>
    </w:p>
    <w:p w:rsidR="00912E67" w:rsidRPr="00912E67" w:rsidRDefault="00912E67" w:rsidP="00912E67">
      <w:r w:rsidRPr="00912E67">
        <w:t>Salle F.526</w:t>
      </w:r>
    </w:p>
    <w:p w:rsidR="00C021C0" w:rsidRDefault="00912E67" w:rsidP="00912E67">
      <w:r>
        <w:t xml:space="preserve">Ces communications prendront place dans le cadre du </w:t>
      </w:r>
      <w:r>
        <w:t xml:space="preserve">Master 2 </w:t>
      </w:r>
      <w:r>
        <w:t>de Droit - Histoire et Anthropologie juridiques comparées</w:t>
      </w:r>
    </w:p>
    <w:sectPr w:rsidR="00C021C0">
      <w:type w:val="continuous"/>
      <w:pgSz w:w="11907" w:h="16840" w:code="9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AC" w:rsidRDefault="00AE61AC">
      <w:pPr>
        <w:spacing w:before="0" w:line="240" w:lineRule="auto"/>
      </w:pPr>
      <w:r>
        <w:separator/>
      </w:r>
    </w:p>
  </w:endnote>
  <w:endnote w:type="continuationSeparator" w:id="0">
    <w:p w:rsidR="00AE61AC" w:rsidRDefault="00AE61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AC" w:rsidRDefault="00AE61AC">
      <w:pPr>
        <w:spacing w:before="0" w:line="240" w:lineRule="auto"/>
      </w:pPr>
      <w:r>
        <w:separator/>
      </w:r>
    </w:p>
  </w:footnote>
  <w:footnote w:type="continuationSeparator" w:id="0">
    <w:p w:rsidR="00AE61AC" w:rsidRDefault="00AE61A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52DF0"/>
    <w:multiLevelType w:val="multilevel"/>
    <w:tmpl w:val="749AAE4A"/>
    <w:lvl w:ilvl="0">
      <w:start w:val="1"/>
      <w:numFmt w:val="decimal"/>
      <w:pStyle w:val="Titre1"/>
      <w:suff w:val="nothing"/>
      <w:lvlText w:val="%1"/>
      <w:lvlJc w:val="left"/>
      <w:pPr>
        <w:ind w:left="429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933"/>
        </w:tabs>
        <w:ind w:left="93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hint="default"/>
      </w:rPr>
    </w:lvl>
  </w:abstractNum>
  <w:abstractNum w:abstractNumId="1" w15:restartNumberingAfterBreak="0">
    <w:nsid w:val="73B1301E"/>
    <w:multiLevelType w:val="hybridMultilevel"/>
    <w:tmpl w:val="75BC50D0"/>
    <w:lvl w:ilvl="0" w:tplc="BF466BE6">
      <w:start w:val="1"/>
      <w:numFmt w:val="lowerLetter"/>
      <w:pStyle w:val="Titre6"/>
      <w:lvlText w:val="%1)"/>
      <w:lvlJc w:val="left"/>
      <w:pPr>
        <w:tabs>
          <w:tab w:val="num" w:pos="1077"/>
        </w:tabs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67"/>
    <w:rsid w:val="00912E67"/>
    <w:rsid w:val="00AE61AC"/>
    <w:rsid w:val="00C021C0"/>
    <w:rsid w:val="00EA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5380"/>
  <w15:chartTrackingRefBased/>
  <w15:docId w15:val="{71C3C869-1A04-426A-A5D8-CA8AEBC6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before="60" w:line="200" w:lineRule="atLeast"/>
      <w:jc w:val="both"/>
    </w:pPr>
    <w:rPr>
      <w:rFonts w:ascii="Garamond" w:hAnsi="Garamond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outlineLvl w:val="2"/>
    </w:pPr>
    <w:rPr>
      <w:b/>
    </w:rPr>
  </w:style>
  <w:style w:type="paragraph" w:styleId="Titre4">
    <w:name w:val="heading 4"/>
    <w:basedOn w:val="Normal"/>
    <w:next w:val="Normal"/>
    <w:qFormat/>
    <w:pPr>
      <w:outlineLvl w:val="3"/>
    </w:pPr>
    <w:rPr>
      <w:b/>
    </w:rPr>
  </w:style>
  <w:style w:type="paragraph" w:styleId="Titre5">
    <w:name w:val="heading 5"/>
    <w:basedOn w:val="Normal"/>
    <w:next w:val="Normal"/>
    <w:qFormat/>
    <w:pPr>
      <w:outlineLvl w:val="4"/>
    </w:pPr>
    <w:rPr>
      <w:b/>
    </w:rPr>
  </w:style>
  <w:style w:type="paragraph" w:styleId="Titre6">
    <w:name w:val="heading 6"/>
    <w:basedOn w:val="Normal"/>
    <w:next w:val="Normal"/>
    <w:autoRedefine/>
    <w:qFormat/>
    <w:pPr>
      <w:numPr>
        <w:numId w:val="1"/>
      </w:numPr>
      <w:spacing w:before="240" w:after="60" w:line="240" w:lineRule="auto"/>
      <w:jc w:val="left"/>
      <w:outlineLvl w:val="5"/>
    </w:pPr>
    <w:rPr>
      <w:rFonts w:ascii="Times New Roman" w:hAnsi="Times New Roman"/>
      <w:i/>
      <w:iCs/>
      <w:sz w:val="24"/>
      <w:szCs w:val="22"/>
    </w:rPr>
  </w:style>
  <w:style w:type="paragraph" w:styleId="Titre7">
    <w:name w:val="heading 7"/>
    <w:basedOn w:val="Normal"/>
    <w:next w:val="Normal"/>
    <w:qFormat/>
    <w:pPr>
      <w:outlineLvl w:val="6"/>
    </w:pPr>
    <w:rPr>
      <w:b/>
    </w:rPr>
  </w:style>
  <w:style w:type="paragraph" w:styleId="Titre8">
    <w:name w:val="heading 8"/>
    <w:basedOn w:val="Normal"/>
    <w:next w:val="Normal"/>
    <w:qFormat/>
    <w:pPr>
      <w:outlineLvl w:val="7"/>
    </w:pPr>
    <w:rPr>
      <w:b/>
    </w:rPr>
  </w:style>
  <w:style w:type="paragraph" w:styleId="Titre9">
    <w:name w:val="heading 9"/>
    <w:basedOn w:val="Normal"/>
    <w:next w:val="Normal"/>
    <w:qFormat/>
    <w:pPr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semiHidden/>
    <w:pPr>
      <w:ind w:left="283" w:hanging="283"/>
    </w:pPr>
  </w:style>
  <w:style w:type="character" w:styleId="Appelnotedebasdep">
    <w:name w:val="footnote reference"/>
    <w:basedOn w:val="Policepardfaut"/>
    <w:semiHidden/>
    <w:rPr>
      <w:rFonts w:ascii="CG Times (W1)" w:hAnsi="CG Times (W1)"/>
      <w:sz w:val="20"/>
      <w:vertAlign w:val="superscript"/>
    </w:rPr>
  </w:style>
  <w:style w:type="paragraph" w:styleId="Notedebasdepage">
    <w:name w:val="footnote text"/>
    <w:basedOn w:val="Normal"/>
    <w:semiHidden/>
    <w:pPr>
      <w:tabs>
        <w:tab w:val="left" w:pos="425"/>
      </w:tabs>
      <w:spacing w:line="220" w:lineRule="exact"/>
      <w:ind w:left="425" w:hanging="425"/>
    </w:pPr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semiHidden/>
    <w:pPr>
      <w:tabs>
        <w:tab w:val="right" w:leader="dot" w:pos="9072"/>
      </w:tabs>
    </w:pPr>
  </w:style>
  <w:style w:type="paragraph" w:styleId="TM2">
    <w:name w:val="toc 2"/>
    <w:basedOn w:val="Normal"/>
    <w:next w:val="Normal"/>
    <w:semiHidden/>
    <w:pPr>
      <w:tabs>
        <w:tab w:val="right" w:leader="dot" w:pos="9072"/>
      </w:tabs>
      <w:ind w:left="240"/>
    </w:pPr>
  </w:style>
  <w:style w:type="paragraph" w:styleId="TM3">
    <w:name w:val="toc 3"/>
    <w:basedOn w:val="Normal"/>
    <w:next w:val="Normal"/>
    <w:semiHidden/>
    <w:pPr>
      <w:tabs>
        <w:tab w:val="right" w:leader="dot" w:pos="9072"/>
      </w:tabs>
      <w:ind w:left="480"/>
    </w:pPr>
  </w:style>
  <w:style w:type="paragraph" w:styleId="TM4">
    <w:name w:val="toc 4"/>
    <w:basedOn w:val="Normal"/>
    <w:next w:val="Normal"/>
    <w:semiHidden/>
    <w:pPr>
      <w:tabs>
        <w:tab w:val="right" w:leader="dot" w:pos="9072"/>
      </w:tabs>
      <w:ind w:left="720"/>
    </w:pPr>
  </w:style>
  <w:style w:type="paragraph" w:styleId="TM5">
    <w:name w:val="toc 5"/>
    <w:basedOn w:val="Normal"/>
    <w:next w:val="Normal"/>
    <w:semiHidden/>
    <w:pPr>
      <w:tabs>
        <w:tab w:val="right" w:leader="dot" w:pos="9072"/>
      </w:tabs>
      <w:ind w:left="960"/>
    </w:pPr>
  </w:style>
  <w:style w:type="paragraph" w:styleId="TM6">
    <w:name w:val="toc 6"/>
    <w:basedOn w:val="Normal"/>
    <w:next w:val="Normal"/>
    <w:semiHidden/>
    <w:pPr>
      <w:tabs>
        <w:tab w:val="right" w:leader="dot" w:pos="9072"/>
      </w:tabs>
      <w:ind w:left="1200"/>
    </w:pPr>
  </w:style>
  <w:style w:type="paragraph" w:styleId="TM7">
    <w:name w:val="toc 7"/>
    <w:basedOn w:val="Normal"/>
    <w:next w:val="Normal"/>
    <w:semiHidden/>
    <w:pPr>
      <w:tabs>
        <w:tab w:val="right" w:leader="dot" w:pos="9072"/>
      </w:tabs>
      <w:ind w:left="1440"/>
    </w:pPr>
  </w:style>
  <w:style w:type="paragraph" w:styleId="TM8">
    <w:name w:val="toc 8"/>
    <w:basedOn w:val="Normal"/>
    <w:next w:val="Normal"/>
    <w:semiHidden/>
    <w:pPr>
      <w:tabs>
        <w:tab w:val="right" w:leader="dot" w:pos="9072"/>
      </w:tabs>
      <w:ind w:left="1680"/>
    </w:pPr>
  </w:style>
  <w:style w:type="paragraph" w:styleId="TM9">
    <w:name w:val="toc 9"/>
    <w:basedOn w:val="Normal"/>
    <w:next w:val="Normal"/>
    <w:semiHidden/>
    <w:pPr>
      <w:tabs>
        <w:tab w:val="right" w:leader="dot" w:pos="9072"/>
      </w:tabs>
      <w:ind w:left="192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jc w:val="right"/>
    </w:pPr>
    <w:rPr>
      <w:rFonts w:ascii="Arial" w:hAnsi="Arial"/>
      <w:b/>
      <w:sz w:val="24"/>
    </w:rPr>
  </w:style>
  <w:style w:type="character" w:styleId="Numrodepage">
    <w:name w:val="page number"/>
    <w:basedOn w:val="Policepardfaut"/>
    <w:semiHidden/>
    <w:rPr>
      <w:rFonts w:ascii="Arial" w:hAnsi="Arial"/>
      <w:b/>
      <w:sz w:val="24"/>
    </w:rPr>
  </w:style>
  <w:style w:type="character" w:styleId="Appeldenotedefin">
    <w:name w:val="endnote reference"/>
    <w:basedOn w:val="Policepardfaut"/>
    <w:semiHidden/>
    <w:rPr>
      <w:rFonts w:ascii="CG Times (W1)" w:hAnsi="CG Times (W1)"/>
      <w:vertAlign w:val="superscript"/>
    </w:rPr>
  </w:style>
  <w:style w:type="character" w:styleId="Marquedecommentaire">
    <w:name w:val="annotation reference"/>
    <w:basedOn w:val="Policepardfaut"/>
    <w:semiHidden/>
    <w:rPr>
      <w:rFonts w:ascii="CG Times (W1)" w:hAnsi="CG Times (W1)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Dumont</dc:creator>
  <cp:keywords/>
  <dc:description/>
  <cp:lastModifiedBy>Gilles Dumont</cp:lastModifiedBy>
  <cp:revision>1</cp:revision>
  <dcterms:created xsi:type="dcterms:W3CDTF">2017-04-03T13:27:00Z</dcterms:created>
  <dcterms:modified xsi:type="dcterms:W3CDTF">2017-04-03T13:30:00Z</dcterms:modified>
</cp:coreProperties>
</file>